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88E6C" w14:textId="77777777" w:rsidR="00317034" w:rsidRPr="00FE697E" w:rsidRDefault="005F68CF" w:rsidP="00FE697E">
      <w:pPr>
        <w:pStyle w:val="Title"/>
      </w:pPr>
      <w:r w:rsidRPr="00FE697E">
        <w:drawing>
          <wp:anchor distT="0" distB="0" distL="114300" distR="114300" simplePos="0" relativeHeight="251658240" behindDoc="0" locked="0" layoutInCell="1" allowOverlap="1" wp14:anchorId="12E88E93" wp14:editId="12E88E94">
            <wp:simplePos x="0" y="0"/>
            <wp:positionH relativeFrom="column">
              <wp:posOffset>-596265</wp:posOffset>
            </wp:positionH>
            <wp:positionV relativeFrom="paragraph">
              <wp:posOffset>-705485</wp:posOffset>
            </wp:positionV>
            <wp:extent cx="915035" cy="915035"/>
            <wp:effectExtent l="19050" t="0" r="0" b="0"/>
            <wp:wrapNone/>
            <wp:docPr id="9" name="Picture 9" descr="U.S. Public Health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anchor>
        </w:drawing>
      </w:r>
      <w:r w:rsidR="0055483C" w:rsidRPr="00FE697E">
        <w:t>JOAG Policy and Procedures Committee</w:t>
      </w:r>
      <w:r w:rsidRPr="00FE697E">
        <w:drawing>
          <wp:anchor distT="0" distB="0" distL="114300" distR="114300" simplePos="0" relativeHeight="251658241" behindDoc="0" locked="0" layoutInCell="1" allowOverlap="1" wp14:anchorId="12E88E95" wp14:editId="12E88E96">
            <wp:simplePos x="0" y="0"/>
            <wp:positionH relativeFrom="margin">
              <wp:posOffset>5389245</wp:posOffset>
            </wp:positionH>
            <wp:positionV relativeFrom="margin">
              <wp:posOffset>-797560</wp:posOffset>
            </wp:positionV>
            <wp:extent cx="1179830" cy="1094740"/>
            <wp:effectExtent l="0" t="0" r="0" b="0"/>
            <wp:wrapNone/>
            <wp:docPr id="4" name="Picture 4" descr="JOAG: Junior Officer Advisor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5058" r="12370" b="21257"/>
                    <a:stretch/>
                  </pic:blipFill>
                  <pic:spPr bwMode="auto">
                    <a:xfrm>
                      <a:off x="0" y="0"/>
                      <a:ext cx="1179830" cy="1094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12E88E6D" w14:textId="77777777" w:rsidR="00317034" w:rsidRPr="005F68CF" w:rsidRDefault="0055483C" w:rsidP="005F68CF">
      <w:pPr>
        <w:spacing w:before="240"/>
        <w:jc w:val="both"/>
        <w:rPr>
          <w:rFonts w:ascii="Calibri" w:eastAsia="Calibri" w:hAnsi="Calibri" w:cs="Calibri"/>
          <w:sz w:val="26"/>
          <w:szCs w:val="26"/>
        </w:rPr>
      </w:pPr>
      <w:r>
        <w:rPr>
          <w:rFonts w:ascii="Calibri"/>
          <w:spacing w:val="-1"/>
          <w:sz w:val="26"/>
        </w:rPr>
        <w:t>Mission:</w:t>
      </w:r>
      <w:r>
        <w:rPr>
          <w:rFonts w:ascii="Calibri"/>
          <w:spacing w:val="-9"/>
          <w:sz w:val="26"/>
        </w:rPr>
        <w:t xml:space="preserve"> </w:t>
      </w:r>
      <w:r w:rsidR="00C15C95">
        <w:rPr>
          <w:rFonts w:ascii="Calibri"/>
          <w:sz w:val="26"/>
        </w:rPr>
        <w:t>E</w:t>
      </w:r>
      <w:r>
        <w:rPr>
          <w:rFonts w:ascii="Calibri"/>
          <w:sz w:val="26"/>
        </w:rPr>
        <w:t>stablish</w:t>
      </w:r>
      <w:r>
        <w:rPr>
          <w:rFonts w:ascii="Calibri"/>
          <w:spacing w:val="-12"/>
          <w:sz w:val="26"/>
        </w:rPr>
        <w:t xml:space="preserve"> </w:t>
      </w:r>
      <w:r>
        <w:rPr>
          <w:rFonts w:ascii="Calibri"/>
          <w:sz w:val="26"/>
        </w:rPr>
        <w:t>guidelines</w:t>
      </w:r>
      <w:r>
        <w:rPr>
          <w:rFonts w:ascii="Calibri"/>
          <w:spacing w:val="-11"/>
          <w:sz w:val="26"/>
        </w:rPr>
        <w:t xml:space="preserve"> </w:t>
      </w:r>
      <w:r>
        <w:rPr>
          <w:rFonts w:ascii="Calibri"/>
          <w:sz w:val="26"/>
        </w:rPr>
        <w:t>and</w:t>
      </w:r>
      <w:r>
        <w:rPr>
          <w:rFonts w:ascii="Calibri"/>
          <w:spacing w:val="-10"/>
          <w:sz w:val="26"/>
        </w:rPr>
        <w:t xml:space="preserve"> </w:t>
      </w:r>
      <w:r>
        <w:rPr>
          <w:rFonts w:ascii="Calibri"/>
          <w:sz w:val="26"/>
        </w:rPr>
        <w:t>operating</w:t>
      </w:r>
      <w:r>
        <w:rPr>
          <w:rFonts w:ascii="Calibri"/>
          <w:spacing w:val="-11"/>
          <w:sz w:val="26"/>
        </w:rPr>
        <w:t xml:space="preserve"> </w:t>
      </w:r>
      <w:r>
        <w:rPr>
          <w:rFonts w:ascii="Calibri"/>
          <w:spacing w:val="-1"/>
          <w:sz w:val="26"/>
        </w:rPr>
        <w:t>procedures</w:t>
      </w:r>
      <w:r>
        <w:rPr>
          <w:rFonts w:ascii="Calibri"/>
          <w:spacing w:val="-11"/>
          <w:sz w:val="26"/>
        </w:rPr>
        <w:t xml:space="preserve"> </w:t>
      </w:r>
      <w:r>
        <w:rPr>
          <w:rFonts w:ascii="Calibri"/>
          <w:spacing w:val="-1"/>
          <w:sz w:val="26"/>
        </w:rPr>
        <w:t>governing</w:t>
      </w:r>
      <w:r>
        <w:rPr>
          <w:rFonts w:ascii="Calibri"/>
          <w:spacing w:val="-10"/>
          <w:sz w:val="26"/>
        </w:rPr>
        <w:t xml:space="preserve"> </w:t>
      </w:r>
      <w:r>
        <w:rPr>
          <w:rFonts w:ascii="Calibri"/>
          <w:sz w:val="26"/>
        </w:rPr>
        <w:t>JOAG.</w:t>
      </w:r>
    </w:p>
    <w:p w14:paraId="12E88E6E" w14:textId="5BFBFE27" w:rsidR="00317034" w:rsidRPr="004605BC" w:rsidRDefault="009217E7" w:rsidP="004605BC">
      <w:pPr>
        <w:pStyle w:val="Heading1"/>
        <w:rPr>
          <w:szCs w:val="36"/>
        </w:rPr>
      </w:pPr>
      <w:r w:rsidRPr="00281A27">
        <w:t>Committee Co-Chairs:</w:t>
      </w:r>
    </w:p>
    <w:p w14:paraId="12E88E6F" w14:textId="0898EB64" w:rsidR="00317034" w:rsidRDefault="00B47A69" w:rsidP="00F83CA8">
      <w:pPr>
        <w:pStyle w:val="ListParagraph"/>
        <w:numPr>
          <w:ilvl w:val="0"/>
          <w:numId w:val="6"/>
        </w:numPr>
        <w:ind w:left="450"/>
        <w:rPr>
          <w:sz w:val="26"/>
          <w:szCs w:val="26"/>
        </w:rPr>
      </w:pPr>
      <w:r w:rsidRPr="009217E7">
        <w:rPr>
          <w:sz w:val="26"/>
          <w:szCs w:val="26"/>
        </w:rPr>
        <w:t xml:space="preserve">LCDR </w:t>
      </w:r>
      <w:r w:rsidR="003A6914">
        <w:rPr>
          <w:sz w:val="26"/>
          <w:szCs w:val="26"/>
        </w:rPr>
        <w:t>Mouhamed “Mo” Halwani</w:t>
      </w:r>
      <w:r w:rsidR="009217E7">
        <w:rPr>
          <w:sz w:val="26"/>
          <w:szCs w:val="26"/>
        </w:rPr>
        <w:t xml:space="preserve"> (</w:t>
      </w:r>
      <w:r w:rsidR="003A6914">
        <w:rPr>
          <w:sz w:val="26"/>
          <w:szCs w:val="26"/>
        </w:rPr>
        <w:t>Mouhamed.Halwani@fda.hhs</w:t>
      </w:r>
      <w:r w:rsidR="009217E7">
        <w:rPr>
          <w:sz w:val="26"/>
          <w:szCs w:val="26"/>
        </w:rPr>
        <w:t>.gov)</w:t>
      </w:r>
    </w:p>
    <w:p w14:paraId="7E8387DD" w14:textId="7E3DF183" w:rsidR="009217E7" w:rsidRPr="009217E7" w:rsidRDefault="009217E7" w:rsidP="00F83CA8">
      <w:pPr>
        <w:pStyle w:val="ListParagraph"/>
        <w:numPr>
          <w:ilvl w:val="0"/>
          <w:numId w:val="6"/>
        </w:numPr>
        <w:ind w:left="450"/>
        <w:rPr>
          <w:sz w:val="26"/>
          <w:szCs w:val="26"/>
        </w:rPr>
      </w:pPr>
      <w:r>
        <w:rPr>
          <w:sz w:val="26"/>
          <w:szCs w:val="26"/>
        </w:rPr>
        <w:t>LT Ubong Akpan (Ubong.Akpan@ihs.gov)</w:t>
      </w:r>
    </w:p>
    <w:p w14:paraId="12E88E70" w14:textId="77777777" w:rsidR="00317034" w:rsidRPr="005F68CF" w:rsidRDefault="00317034" w:rsidP="005F68CF">
      <w:pPr>
        <w:rPr>
          <w:rFonts w:ascii="Calibri" w:eastAsia="Calibri" w:hAnsi="Calibri" w:cs="Calibri"/>
          <w:sz w:val="24"/>
          <w:szCs w:val="24"/>
        </w:rPr>
      </w:pPr>
    </w:p>
    <w:p w14:paraId="12E88E71" w14:textId="77777777" w:rsidR="00317034" w:rsidRDefault="00E9211D" w:rsidP="005F68CF">
      <w:pPr>
        <w:spacing w:line="20" w:lineRule="atLeast"/>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12E88E98">
          <v:group id="_x0000_s1034" style="width:464.8pt;height:1pt;mso-position-horizontal-relative:char;mso-position-vertical-relative:line" coordsize="9296,20">
            <v:group id="_x0000_s1035" style="position:absolute;left:10;top:10;width:9276;height:2" coordorigin="10,10" coordsize="9276,2">
              <v:shape id="_x0000_s1036" style="position:absolute;left:10;top:10;width:9276;height:2" coordorigin="10,10" coordsize="9276,0" path="m10,10r9276,e" filled="f" strokecolor="#006fc0" strokeweight="1pt">
                <v:path arrowok="t"/>
              </v:shape>
            </v:group>
            <w10:anchorlock/>
          </v:group>
        </w:pict>
      </w:r>
    </w:p>
    <w:p w14:paraId="12E88E72" w14:textId="77777777" w:rsidR="00317034" w:rsidRDefault="00317034">
      <w:pPr>
        <w:spacing w:before="7"/>
        <w:rPr>
          <w:rFonts w:ascii="Calibri" w:eastAsia="Calibri" w:hAnsi="Calibri" w:cs="Calibri"/>
          <w:sz w:val="20"/>
          <w:szCs w:val="20"/>
        </w:rPr>
      </w:pPr>
    </w:p>
    <w:p w14:paraId="12E88E73" w14:textId="77777777" w:rsidR="00317034" w:rsidRPr="00860A5F" w:rsidRDefault="0055483C" w:rsidP="004B1D0A">
      <w:pPr>
        <w:pStyle w:val="Heading1"/>
        <w:spacing w:before="0" w:after="120"/>
        <w:rPr>
          <w:rFonts w:eastAsia="Calibri" w:hAnsi="Calibri" w:cs="Calibri"/>
          <w:szCs w:val="29"/>
        </w:rPr>
      </w:pPr>
      <w:r>
        <w:t>S</w:t>
      </w:r>
      <w:r w:rsidRPr="004B1D0A">
        <w:rPr>
          <w:sz w:val="28"/>
          <w:szCs w:val="28"/>
        </w:rPr>
        <w:t>UBCOMMITTEES</w:t>
      </w:r>
    </w:p>
    <w:p w14:paraId="12E88E74" w14:textId="77777777" w:rsidR="00317034" w:rsidRDefault="00317034" w:rsidP="005F68CF">
      <w:pPr>
        <w:rPr>
          <w:rFonts w:ascii="Calibri" w:eastAsia="Calibri" w:hAnsi="Calibri" w:cs="Calibri"/>
          <w:sz w:val="27"/>
          <w:szCs w:val="27"/>
        </w:rPr>
        <w:sectPr w:rsidR="00317034" w:rsidSect="004605BC">
          <w:type w:val="continuous"/>
          <w:pgSz w:w="12240" w:h="15840"/>
          <w:pgMar w:top="1440" w:right="1440" w:bottom="720" w:left="1440" w:header="720" w:footer="720" w:gutter="0"/>
          <w:cols w:space="720"/>
        </w:sectPr>
      </w:pPr>
    </w:p>
    <w:p w14:paraId="12E88E75" w14:textId="600DA49F" w:rsidR="00317034" w:rsidRPr="00AA16FB" w:rsidRDefault="009217E7" w:rsidP="004605BC">
      <w:pPr>
        <w:pStyle w:val="Heading2"/>
        <w:rPr>
          <w:rFonts w:hAnsi="Calibri"/>
          <w:bCs/>
          <w:i/>
          <w:spacing w:val="0"/>
        </w:rPr>
      </w:pPr>
      <w:r>
        <w:rPr>
          <w:rFonts w:hAnsi="Calibri"/>
          <w:spacing w:val="0"/>
        </w:rPr>
        <w:t>Governing Documents</w:t>
      </w:r>
      <w:r w:rsidR="0055483C" w:rsidRPr="00AA16FB">
        <w:rPr>
          <w:rFonts w:hAnsi="Calibri"/>
          <w:spacing w:val="0"/>
        </w:rPr>
        <w:t>:</w:t>
      </w:r>
    </w:p>
    <w:p w14:paraId="12E88E76" w14:textId="2B075BAE" w:rsidR="00317034" w:rsidRPr="00AA16FB" w:rsidRDefault="0055483C" w:rsidP="004605BC">
      <w:pPr>
        <w:pStyle w:val="BodyText"/>
        <w:rPr>
          <w:spacing w:val="0"/>
        </w:rPr>
      </w:pPr>
      <w:r w:rsidRPr="00AA16FB">
        <w:rPr>
          <w:spacing w:val="0"/>
        </w:rPr>
        <w:t>Reviews</w:t>
      </w:r>
      <w:r w:rsidR="009217E7">
        <w:rPr>
          <w:spacing w:val="0"/>
        </w:rPr>
        <w:t xml:space="preserve"> and updated</w:t>
      </w:r>
      <w:r w:rsidRPr="00AA16FB">
        <w:rPr>
          <w:spacing w:val="0"/>
        </w:rPr>
        <w:t xml:space="preserve"> the JOAG Bylaws</w:t>
      </w:r>
      <w:r w:rsidR="009217E7">
        <w:rPr>
          <w:spacing w:val="0"/>
        </w:rPr>
        <w:t xml:space="preserve"> and Charter</w:t>
      </w:r>
      <w:r w:rsidRPr="00AA16FB">
        <w:rPr>
          <w:spacing w:val="0"/>
        </w:rPr>
        <w:t xml:space="preserve"> on an annual basis. Makes recommendations to update the Bylaws</w:t>
      </w:r>
      <w:r w:rsidR="009217E7">
        <w:rPr>
          <w:spacing w:val="0"/>
        </w:rPr>
        <w:t xml:space="preserve"> and Charter</w:t>
      </w:r>
      <w:r w:rsidRPr="00AA16FB">
        <w:rPr>
          <w:spacing w:val="0"/>
        </w:rPr>
        <w:t xml:space="preserve"> to ensure that all JOAG guidelines</w:t>
      </w:r>
      <w:r w:rsidR="00293BE1" w:rsidRPr="00AA16FB">
        <w:rPr>
          <w:spacing w:val="0"/>
        </w:rPr>
        <w:t xml:space="preserve"> </w:t>
      </w:r>
      <w:r w:rsidRPr="00AA16FB">
        <w:rPr>
          <w:spacing w:val="0"/>
        </w:rPr>
        <w:t>and operating procedures are aligned with those of the Corps. Ensures that the JOAG Bylaws remain consistent with the JOAG Charter.</w:t>
      </w:r>
    </w:p>
    <w:p w14:paraId="12E88E7A" w14:textId="77777777" w:rsidR="00317034" w:rsidRPr="00AA16FB" w:rsidRDefault="00317034" w:rsidP="00293BE1">
      <w:pPr>
        <w:tabs>
          <w:tab w:val="left" w:pos="360"/>
          <w:tab w:val="left" w:pos="1080"/>
          <w:tab w:val="left" w:pos="1170"/>
          <w:tab w:val="left" w:pos="3510"/>
        </w:tabs>
        <w:ind w:right="144"/>
        <w:rPr>
          <w:rFonts w:ascii="Calibri" w:eastAsia="Calibri" w:hAnsi="Calibri" w:cs="Calibri"/>
          <w:sz w:val="26"/>
          <w:szCs w:val="26"/>
        </w:rPr>
      </w:pPr>
    </w:p>
    <w:p w14:paraId="12E88E7B" w14:textId="65C992B4" w:rsidR="00317034" w:rsidRPr="00AA16FB" w:rsidRDefault="0055483C" w:rsidP="004605BC">
      <w:pPr>
        <w:pStyle w:val="Heading2"/>
        <w:rPr>
          <w:rFonts w:hAnsi="Calibri"/>
          <w:spacing w:val="0"/>
        </w:rPr>
      </w:pPr>
      <w:r w:rsidRPr="00AA16FB">
        <w:rPr>
          <w:rFonts w:hAnsi="Calibri"/>
          <w:spacing w:val="0"/>
        </w:rPr>
        <w:t xml:space="preserve">Policy </w:t>
      </w:r>
      <w:r w:rsidR="006A4EFC">
        <w:rPr>
          <w:rFonts w:hAnsi="Calibri"/>
          <w:spacing w:val="0"/>
        </w:rPr>
        <w:t>Awareness and Notification</w:t>
      </w:r>
      <w:r w:rsidRPr="00AA16FB">
        <w:rPr>
          <w:rFonts w:hAnsi="Calibri"/>
          <w:spacing w:val="0"/>
        </w:rPr>
        <w:t>:</w:t>
      </w:r>
    </w:p>
    <w:p w14:paraId="12E88E7C" w14:textId="5BBD70F1" w:rsidR="00317034" w:rsidRDefault="0055483C" w:rsidP="004605BC">
      <w:pPr>
        <w:pStyle w:val="BodyText"/>
        <w:rPr>
          <w:spacing w:val="0"/>
        </w:rPr>
      </w:pPr>
      <w:r w:rsidRPr="00AA16FB">
        <w:rPr>
          <w:spacing w:val="0"/>
        </w:rPr>
        <w:t xml:space="preserve">Provides policy guidance and support to the </w:t>
      </w:r>
      <w:r w:rsidR="00187174" w:rsidRPr="00AA16FB">
        <w:rPr>
          <w:rFonts w:cs="Calibri"/>
          <w:spacing w:val="0"/>
        </w:rPr>
        <w:t>JOA</w:t>
      </w:r>
      <w:r w:rsidRPr="00AA16FB">
        <w:rPr>
          <w:rFonts w:cs="Calibri"/>
          <w:spacing w:val="0"/>
        </w:rPr>
        <w:t xml:space="preserve">G Policy and Procedure Committee’s Chair </w:t>
      </w:r>
      <w:r w:rsidRPr="00AA16FB">
        <w:rPr>
          <w:spacing w:val="0"/>
        </w:rPr>
        <w:t>and the JOAG Executive Committee. Stays abreast of newly issued policies by the Division of Commissio</w:t>
      </w:r>
      <w:r w:rsidR="006A4EFC">
        <w:rPr>
          <w:spacing w:val="0"/>
        </w:rPr>
        <w:t>ned Corps Personnel and Readines</w:t>
      </w:r>
      <w:r w:rsidRPr="00AA16FB">
        <w:rPr>
          <w:spacing w:val="0"/>
        </w:rPr>
        <w:t>s. Publishes quarterly</w:t>
      </w:r>
      <w:r w:rsidR="00742863" w:rsidRPr="00AA16FB">
        <w:rPr>
          <w:spacing w:val="0"/>
        </w:rPr>
        <w:t>,</w:t>
      </w:r>
      <w:r w:rsidRPr="00AA16FB">
        <w:rPr>
          <w:spacing w:val="0"/>
        </w:rPr>
        <w:t xml:space="preserve"> or as needed</w:t>
      </w:r>
      <w:r w:rsidR="00742863" w:rsidRPr="00AA16FB">
        <w:rPr>
          <w:spacing w:val="0"/>
        </w:rPr>
        <w:t>,</w:t>
      </w:r>
      <w:r w:rsidRPr="00AA16FB">
        <w:rPr>
          <w:spacing w:val="0"/>
        </w:rPr>
        <w:t xml:space="preserve"> policy-related newsletters with updates that are pertinent to all junior officers. Coordinates policy related trainings and presentations applicable to junior officers.</w:t>
      </w:r>
    </w:p>
    <w:p w14:paraId="0DA2C01F" w14:textId="77777777" w:rsidR="009217E7" w:rsidRPr="00AA16FB" w:rsidRDefault="009217E7" w:rsidP="004605BC">
      <w:pPr>
        <w:pStyle w:val="BodyText"/>
        <w:rPr>
          <w:spacing w:val="0"/>
        </w:rPr>
      </w:pPr>
    </w:p>
    <w:p w14:paraId="3C87DB9C" w14:textId="294CB18D" w:rsidR="009217E7" w:rsidRPr="00AA16FB" w:rsidRDefault="00293BE1" w:rsidP="009217E7">
      <w:pPr>
        <w:pStyle w:val="Heading2"/>
        <w:rPr>
          <w:rFonts w:hAnsi="Calibri"/>
          <w:bCs/>
          <w:i/>
          <w:spacing w:val="0"/>
        </w:rPr>
      </w:pPr>
      <w:r w:rsidRPr="00AA16FB">
        <w:rPr>
          <w:rFonts w:hAnsi="Calibri"/>
          <w:spacing w:val="0"/>
        </w:rPr>
        <w:t xml:space="preserve"> </w:t>
      </w:r>
      <w:r w:rsidR="009217E7" w:rsidRPr="00AA16FB">
        <w:rPr>
          <w:rFonts w:hAnsi="Calibri"/>
          <w:spacing w:val="0"/>
        </w:rPr>
        <w:t>Standard Operating Procedures</w:t>
      </w:r>
      <w:r w:rsidR="009217E7" w:rsidRPr="00AA16FB">
        <w:rPr>
          <w:rFonts w:hAnsi="Calibri"/>
          <w:spacing w:val="0"/>
          <w:w w:val="99"/>
        </w:rPr>
        <w:t xml:space="preserve"> </w:t>
      </w:r>
      <w:r w:rsidR="009217E7" w:rsidRPr="00AA16FB">
        <w:rPr>
          <w:rFonts w:hAnsi="Calibri"/>
          <w:spacing w:val="0"/>
        </w:rPr>
        <w:t>(SOP):</w:t>
      </w:r>
    </w:p>
    <w:p w14:paraId="4300D2BA" w14:textId="77777777" w:rsidR="009217E7" w:rsidRPr="00AA16FB" w:rsidRDefault="009217E7" w:rsidP="009217E7">
      <w:pPr>
        <w:pStyle w:val="BodyText"/>
        <w:rPr>
          <w:spacing w:val="0"/>
        </w:rPr>
      </w:pPr>
      <w:r w:rsidRPr="00AA16FB">
        <w:rPr>
          <w:spacing w:val="0"/>
        </w:rPr>
        <w:t>Reviews and standardizes the SOP for each Committee as well as the JOAG General SOP on an annual basis. Ensures that the structure and formatting of all SOPs are consistent with each other. Reviews and updates the Policy and Procedures Committee's SOP.</w:t>
      </w:r>
    </w:p>
    <w:p w14:paraId="12E88E80" w14:textId="5B0B6AD0" w:rsidR="00293BE1" w:rsidRPr="00AA16FB" w:rsidRDefault="0055483C" w:rsidP="004605BC">
      <w:pPr>
        <w:pStyle w:val="Heading2"/>
        <w:rPr>
          <w:rFonts w:hAnsi="Calibri"/>
          <w:spacing w:val="0"/>
          <w:w w:val="99"/>
        </w:rPr>
      </w:pPr>
      <w:r w:rsidRPr="00AA16FB">
        <w:rPr>
          <w:rFonts w:hAnsi="Calibri"/>
          <w:spacing w:val="0"/>
        </w:rPr>
        <w:br w:type="column"/>
      </w:r>
      <w:r w:rsidRPr="00AA16FB">
        <w:rPr>
          <w:rFonts w:hAnsi="Calibri"/>
          <w:spacing w:val="0"/>
        </w:rPr>
        <w:t>Strategic Plan:</w:t>
      </w:r>
      <w:r w:rsidRPr="00AA16FB">
        <w:rPr>
          <w:rFonts w:hAnsi="Calibri"/>
          <w:spacing w:val="0"/>
          <w:w w:val="99"/>
        </w:rPr>
        <w:t xml:space="preserve"> </w:t>
      </w:r>
    </w:p>
    <w:p w14:paraId="12E88E81" w14:textId="7B430E18" w:rsidR="00317034" w:rsidRDefault="0055483C" w:rsidP="004605BC">
      <w:pPr>
        <w:pStyle w:val="BodyText"/>
        <w:rPr>
          <w:spacing w:val="0"/>
        </w:rPr>
      </w:pPr>
      <w:r w:rsidRPr="00AA16FB">
        <w:rPr>
          <w:spacing w:val="0"/>
        </w:rPr>
        <w:t xml:space="preserve">Reviews and updates the JOAG Operational Plan every year and Strategic Plan every five years. Works closely with all JOAG </w:t>
      </w:r>
      <w:r w:rsidR="00742863" w:rsidRPr="00AA16FB">
        <w:rPr>
          <w:spacing w:val="0"/>
          <w:w w:val="95"/>
        </w:rPr>
        <w:t>C</w:t>
      </w:r>
      <w:r w:rsidR="00293BE1" w:rsidRPr="00AA16FB">
        <w:rPr>
          <w:spacing w:val="0"/>
          <w:w w:val="95"/>
        </w:rPr>
        <w:t xml:space="preserve">ommittees </w:t>
      </w:r>
      <w:r w:rsidRPr="00AA16FB">
        <w:rPr>
          <w:spacing w:val="0"/>
          <w:w w:val="95"/>
        </w:rPr>
        <w:t>to</w:t>
      </w:r>
      <w:r w:rsidR="005F68CF" w:rsidRPr="00AA16FB">
        <w:rPr>
          <w:spacing w:val="0"/>
          <w:w w:val="95"/>
        </w:rPr>
        <w:t xml:space="preserve"> </w:t>
      </w:r>
      <w:r w:rsidRPr="00AA16FB">
        <w:rPr>
          <w:spacing w:val="0"/>
        </w:rPr>
        <w:t>ensure</w:t>
      </w:r>
      <w:r w:rsidR="00293BE1" w:rsidRPr="00AA16FB">
        <w:rPr>
          <w:spacing w:val="0"/>
        </w:rPr>
        <w:t xml:space="preserve"> </w:t>
      </w:r>
      <w:r w:rsidRPr="00AA16FB">
        <w:rPr>
          <w:spacing w:val="0"/>
          <w:w w:val="95"/>
        </w:rPr>
        <w:t>their</w:t>
      </w:r>
      <w:r w:rsidR="00293BE1" w:rsidRPr="00AA16FB">
        <w:rPr>
          <w:spacing w:val="0"/>
          <w:w w:val="95"/>
        </w:rPr>
        <w:t xml:space="preserve"> </w:t>
      </w:r>
      <w:r w:rsidRPr="00AA16FB">
        <w:rPr>
          <w:spacing w:val="0"/>
        </w:rPr>
        <w:t>long-term strategies do</w:t>
      </w:r>
      <w:r w:rsidR="00293BE1" w:rsidRPr="00AA16FB">
        <w:rPr>
          <w:spacing w:val="0"/>
        </w:rPr>
        <w:t xml:space="preserve"> </w:t>
      </w:r>
      <w:r w:rsidRPr="00AA16FB">
        <w:rPr>
          <w:spacing w:val="0"/>
        </w:rPr>
        <w:t>the following: 1) reinforce the JOAG Goals; 2) provide a vision for the future to</w:t>
      </w:r>
      <w:r w:rsidR="00293BE1" w:rsidRPr="00AA16FB">
        <w:rPr>
          <w:spacing w:val="0"/>
        </w:rPr>
        <w:t xml:space="preserve"> </w:t>
      </w:r>
      <w:r w:rsidRPr="00AA16FB">
        <w:rPr>
          <w:spacing w:val="0"/>
        </w:rPr>
        <w:t>help</w:t>
      </w:r>
      <w:r w:rsidR="00293BE1" w:rsidRPr="00AA16FB">
        <w:rPr>
          <w:spacing w:val="0"/>
        </w:rPr>
        <w:t xml:space="preserve"> move </w:t>
      </w:r>
      <w:r w:rsidRPr="00AA16FB">
        <w:rPr>
          <w:spacing w:val="0"/>
        </w:rPr>
        <w:t>JOAG</w:t>
      </w:r>
      <w:r w:rsidR="00293BE1" w:rsidRPr="00AA16FB">
        <w:rPr>
          <w:spacing w:val="0"/>
        </w:rPr>
        <w:t xml:space="preserve"> forward; </w:t>
      </w:r>
      <w:r w:rsidRPr="00AA16FB">
        <w:rPr>
          <w:spacing w:val="0"/>
          <w:w w:val="95"/>
        </w:rPr>
        <w:t>3)</w:t>
      </w:r>
      <w:r w:rsidR="00293BE1" w:rsidRPr="00AA16FB">
        <w:rPr>
          <w:spacing w:val="0"/>
          <w:w w:val="95"/>
        </w:rPr>
        <w:t xml:space="preserve"> </w:t>
      </w:r>
      <w:r w:rsidRPr="00AA16FB">
        <w:rPr>
          <w:spacing w:val="0"/>
        </w:rPr>
        <w:t>are measurable; and 4) are reviewed annually and updated as needed.</w:t>
      </w:r>
    </w:p>
    <w:p w14:paraId="6DA89BB5" w14:textId="786A53FB" w:rsidR="009217E7" w:rsidRDefault="009217E7" w:rsidP="004605BC">
      <w:pPr>
        <w:pStyle w:val="BodyText"/>
        <w:rPr>
          <w:spacing w:val="0"/>
        </w:rPr>
      </w:pPr>
    </w:p>
    <w:p w14:paraId="7419838B" w14:textId="73FB1BDA" w:rsidR="009217E7" w:rsidRPr="00AA16FB" w:rsidRDefault="00AD32A1" w:rsidP="009217E7">
      <w:pPr>
        <w:pStyle w:val="Heading2"/>
        <w:rPr>
          <w:rFonts w:hAnsi="Calibri"/>
          <w:bCs/>
          <w:i/>
          <w:spacing w:val="0"/>
        </w:rPr>
      </w:pPr>
      <w:r>
        <w:rPr>
          <w:rFonts w:hAnsi="Calibri"/>
          <w:spacing w:val="0"/>
        </w:rPr>
        <w:t>Accomplishments Report</w:t>
      </w:r>
      <w:r w:rsidR="009217E7" w:rsidRPr="00AA16FB">
        <w:rPr>
          <w:rFonts w:hAnsi="Calibri"/>
          <w:spacing w:val="0"/>
        </w:rPr>
        <w:t>:</w:t>
      </w:r>
    </w:p>
    <w:p w14:paraId="11D84F27" w14:textId="7FC724B9" w:rsidR="009217E7" w:rsidRPr="00AA16FB" w:rsidRDefault="00AD32A1" w:rsidP="009217E7">
      <w:pPr>
        <w:pStyle w:val="BodyText"/>
        <w:rPr>
          <w:spacing w:val="0"/>
        </w:rPr>
      </w:pPr>
      <w:r>
        <w:rPr>
          <w:spacing w:val="0"/>
        </w:rPr>
        <w:t>Works collaboratively with all JOAG Committees and the Strategic Plan Subcommittee to facilitate the Annual Accomplishments Report, which promotes JOAG’s impact.</w:t>
      </w:r>
    </w:p>
    <w:p w14:paraId="12E88E82" w14:textId="77777777" w:rsidR="00317034" w:rsidRPr="00AA16FB" w:rsidRDefault="00317034" w:rsidP="00293BE1">
      <w:pPr>
        <w:rPr>
          <w:rFonts w:ascii="Calibri" w:eastAsia="Calibri" w:hAnsi="Calibri" w:cs="Calibri"/>
          <w:sz w:val="26"/>
          <w:szCs w:val="26"/>
        </w:rPr>
      </w:pPr>
    </w:p>
    <w:p w14:paraId="12E88E83" w14:textId="77777777" w:rsidR="00317034" w:rsidRPr="00AA16FB" w:rsidRDefault="0055483C" w:rsidP="004605BC">
      <w:pPr>
        <w:pStyle w:val="Heading2"/>
        <w:rPr>
          <w:rFonts w:hAnsi="Calibri"/>
          <w:bCs/>
          <w:i/>
          <w:spacing w:val="0"/>
        </w:rPr>
      </w:pPr>
      <w:r w:rsidRPr="00AA16FB">
        <w:rPr>
          <w:rFonts w:hAnsi="Calibri"/>
          <w:spacing w:val="0"/>
        </w:rPr>
        <w:t xml:space="preserve">The </w:t>
      </w:r>
      <w:r w:rsidR="00293BE1" w:rsidRPr="00AA16FB">
        <w:rPr>
          <w:rFonts w:hAnsi="Calibri"/>
          <w:spacing w:val="0"/>
        </w:rPr>
        <w:t>C</w:t>
      </w:r>
      <w:r w:rsidRPr="00AA16FB">
        <w:rPr>
          <w:rFonts w:hAnsi="Calibri"/>
          <w:spacing w:val="0"/>
        </w:rPr>
        <w:t>ommittee also includes:</w:t>
      </w:r>
    </w:p>
    <w:p w14:paraId="12E88E84" w14:textId="6F628BCF" w:rsidR="00317034" w:rsidRPr="00AA16FB" w:rsidRDefault="00F24BD2" w:rsidP="00F83CA8">
      <w:pPr>
        <w:pStyle w:val="ListParagraph"/>
        <w:numPr>
          <w:ilvl w:val="0"/>
          <w:numId w:val="7"/>
        </w:numPr>
        <w:ind w:left="450"/>
        <w:rPr>
          <w:rFonts w:ascii="Calibri" w:hAnsi="Calibri"/>
        </w:rPr>
      </w:pPr>
      <w:r>
        <w:rPr>
          <w:rFonts w:ascii="Calibri" w:hAnsi="Calibri"/>
        </w:rPr>
        <w:t>Co-</w:t>
      </w:r>
      <w:r w:rsidR="0055483C" w:rsidRPr="00AA16FB">
        <w:rPr>
          <w:rFonts w:ascii="Calibri" w:hAnsi="Calibri"/>
        </w:rPr>
        <w:t>Secretar</w:t>
      </w:r>
      <w:r>
        <w:rPr>
          <w:rFonts w:ascii="Calibri" w:hAnsi="Calibri"/>
        </w:rPr>
        <w:t>ies (two)</w:t>
      </w:r>
    </w:p>
    <w:p w14:paraId="12E88E85" w14:textId="03AA303E" w:rsidR="00317034" w:rsidRPr="00AA16FB" w:rsidRDefault="009217E7" w:rsidP="00F83CA8">
      <w:pPr>
        <w:pStyle w:val="ListParagraph"/>
        <w:numPr>
          <w:ilvl w:val="0"/>
          <w:numId w:val="7"/>
        </w:numPr>
        <w:ind w:left="450"/>
        <w:rPr>
          <w:rFonts w:ascii="Calibri" w:hAnsi="Calibri"/>
        </w:rPr>
      </w:pPr>
      <w:r>
        <w:rPr>
          <w:rFonts w:ascii="Calibri" w:hAnsi="Calibri"/>
        </w:rPr>
        <w:t>Social Platform</w:t>
      </w:r>
      <w:r w:rsidR="0055483C" w:rsidRPr="00AA16FB">
        <w:rPr>
          <w:rFonts w:ascii="Calibri" w:hAnsi="Calibri"/>
        </w:rPr>
        <w:t xml:space="preserve"> Coordinator</w:t>
      </w:r>
    </w:p>
    <w:p w14:paraId="12E88E86" w14:textId="3FD11CF7" w:rsidR="00317034" w:rsidRPr="00AA16FB" w:rsidRDefault="00AD32A1" w:rsidP="00F83CA8">
      <w:pPr>
        <w:pStyle w:val="ListParagraph"/>
        <w:numPr>
          <w:ilvl w:val="0"/>
          <w:numId w:val="7"/>
        </w:numPr>
        <w:ind w:left="450"/>
        <w:rPr>
          <w:rFonts w:ascii="Calibri" w:hAnsi="Calibri"/>
        </w:rPr>
      </w:pPr>
      <w:r>
        <w:rPr>
          <w:rFonts w:ascii="Calibri" w:hAnsi="Calibri"/>
        </w:rPr>
        <w:t>Assessment</w:t>
      </w:r>
      <w:r w:rsidR="0055483C" w:rsidRPr="00AA16FB">
        <w:rPr>
          <w:rFonts w:ascii="Calibri" w:hAnsi="Calibri"/>
        </w:rPr>
        <w:t xml:space="preserve"> Coordinator</w:t>
      </w:r>
    </w:p>
    <w:p w14:paraId="12E88E87" w14:textId="77777777" w:rsidR="00317034" w:rsidRDefault="00317034" w:rsidP="00293BE1">
      <w:pPr>
        <w:spacing w:line="292" w:lineRule="exact"/>
        <w:ind w:left="144"/>
        <w:sectPr w:rsidR="00317034" w:rsidSect="004605BC">
          <w:type w:val="continuous"/>
          <w:pgSz w:w="12240" w:h="15840"/>
          <w:pgMar w:top="1440" w:right="1440" w:bottom="720" w:left="1440" w:header="720" w:footer="720" w:gutter="0"/>
          <w:cols w:num="2" w:space="288"/>
        </w:sectPr>
      </w:pPr>
    </w:p>
    <w:p w14:paraId="12E88E88" w14:textId="77777777" w:rsidR="00317034" w:rsidRDefault="00317034">
      <w:pPr>
        <w:rPr>
          <w:rFonts w:ascii="Calibri" w:eastAsia="Calibri" w:hAnsi="Calibri" w:cs="Calibri"/>
          <w:sz w:val="20"/>
          <w:szCs w:val="20"/>
        </w:rPr>
      </w:pPr>
    </w:p>
    <w:p w14:paraId="12E88E89" w14:textId="77777777" w:rsidR="00317034" w:rsidRDefault="00317034">
      <w:pPr>
        <w:rPr>
          <w:rFonts w:ascii="Calibri" w:eastAsia="Calibri" w:hAnsi="Calibri" w:cs="Calibri"/>
          <w:sz w:val="20"/>
          <w:szCs w:val="20"/>
        </w:rPr>
      </w:pPr>
    </w:p>
    <w:p w14:paraId="12E88E8A" w14:textId="77777777" w:rsidR="00317034" w:rsidRDefault="00317034">
      <w:pPr>
        <w:rPr>
          <w:rFonts w:ascii="Calibri" w:eastAsia="Calibri" w:hAnsi="Calibri" w:cs="Calibri"/>
          <w:sz w:val="20"/>
          <w:szCs w:val="20"/>
        </w:rPr>
      </w:pPr>
    </w:p>
    <w:p w14:paraId="12E88E8B" w14:textId="77777777" w:rsidR="00317034" w:rsidRDefault="00317034">
      <w:pPr>
        <w:rPr>
          <w:rFonts w:ascii="Calibri" w:eastAsia="Calibri" w:hAnsi="Calibri" w:cs="Calibri"/>
          <w:sz w:val="20"/>
          <w:szCs w:val="20"/>
        </w:rPr>
      </w:pPr>
    </w:p>
    <w:p w14:paraId="12E88E8C" w14:textId="77777777" w:rsidR="00317034" w:rsidRDefault="00317034">
      <w:pPr>
        <w:rPr>
          <w:rFonts w:ascii="Calibri" w:eastAsia="Calibri" w:hAnsi="Calibri" w:cs="Calibri"/>
          <w:sz w:val="20"/>
          <w:szCs w:val="20"/>
        </w:rPr>
      </w:pPr>
    </w:p>
    <w:p w14:paraId="12E88E8D" w14:textId="77777777" w:rsidR="00FE697E" w:rsidRDefault="00FE697E" w:rsidP="004605BC">
      <w:pPr>
        <w:pStyle w:val="Heading2"/>
      </w:pPr>
    </w:p>
    <w:p w14:paraId="12E88E91" w14:textId="4B0AE013" w:rsidR="00FE697E" w:rsidRPr="004605BC" w:rsidRDefault="00AD32A1" w:rsidP="00AD32A1">
      <w:pPr>
        <w:jc w:val="center"/>
        <w:rPr>
          <w:b/>
          <w:spacing w:val="63"/>
          <w:w w:val="99"/>
          <w:sz w:val="26"/>
          <w:szCs w:val="26"/>
        </w:rPr>
      </w:pPr>
      <w:r>
        <w:rPr>
          <w:b/>
          <w:sz w:val="26"/>
          <w:szCs w:val="26"/>
        </w:rPr>
        <w:t>P</w:t>
      </w:r>
      <w:r w:rsidR="00FE697E" w:rsidRPr="004605BC">
        <w:rPr>
          <w:b/>
          <w:sz w:val="26"/>
          <w:szCs w:val="26"/>
        </w:rPr>
        <w:t>lease</w:t>
      </w:r>
      <w:r w:rsidR="00FE697E" w:rsidRPr="004605BC">
        <w:rPr>
          <w:b/>
          <w:spacing w:val="-9"/>
          <w:sz w:val="26"/>
          <w:szCs w:val="26"/>
        </w:rPr>
        <w:t xml:space="preserve"> </w:t>
      </w:r>
      <w:r w:rsidR="00FE697E" w:rsidRPr="004605BC">
        <w:rPr>
          <w:b/>
          <w:sz w:val="26"/>
          <w:szCs w:val="26"/>
        </w:rPr>
        <w:t>visit</w:t>
      </w:r>
      <w:r w:rsidR="00FE697E" w:rsidRPr="004605BC">
        <w:rPr>
          <w:b/>
          <w:spacing w:val="-10"/>
          <w:sz w:val="26"/>
          <w:szCs w:val="26"/>
        </w:rPr>
        <w:t xml:space="preserve"> </w:t>
      </w:r>
      <w:r w:rsidR="00FE697E" w:rsidRPr="004605BC">
        <w:rPr>
          <w:b/>
          <w:spacing w:val="-1"/>
          <w:sz w:val="26"/>
          <w:szCs w:val="26"/>
        </w:rPr>
        <w:t>our</w:t>
      </w:r>
      <w:r w:rsidR="00FE697E" w:rsidRPr="004605BC">
        <w:rPr>
          <w:b/>
          <w:spacing w:val="-7"/>
          <w:sz w:val="26"/>
          <w:szCs w:val="26"/>
        </w:rPr>
        <w:t xml:space="preserve"> </w:t>
      </w:r>
      <w:r w:rsidR="00FE697E" w:rsidRPr="004605BC">
        <w:rPr>
          <w:b/>
          <w:sz w:val="26"/>
          <w:szCs w:val="26"/>
        </w:rPr>
        <w:t>JOAG</w:t>
      </w:r>
      <w:r w:rsidR="00FE697E" w:rsidRPr="004605BC">
        <w:rPr>
          <w:b/>
          <w:spacing w:val="-8"/>
          <w:sz w:val="26"/>
          <w:szCs w:val="26"/>
        </w:rPr>
        <w:t xml:space="preserve"> </w:t>
      </w:r>
      <w:r w:rsidR="00FE697E" w:rsidRPr="004605BC">
        <w:rPr>
          <w:b/>
          <w:sz w:val="26"/>
          <w:szCs w:val="26"/>
        </w:rPr>
        <w:t>Policy</w:t>
      </w:r>
      <w:r w:rsidR="00FE697E" w:rsidRPr="004605BC">
        <w:rPr>
          <w:b/>
          <w:spacing w:val="-9"/>
          <w:sz w:val="26"/>
          <w:szCs w:val="26"/>
        </w:rPr>
        <w:t xml:space="preserve"> </w:t>
      </w:r>
      <w:r w:rsidR="00FE697E" w:rsidRPr="004605BC">
        <w:rPr>
          <w:b/>
          <w:sz w:val="26"/>
          <w:szCs w:val="26"/>
        </w:rPr>
        <w:t>and</w:t>
      </w:r>
      <w:r w:rsidR="00FE697E" w:rsidRPr="004605BC">
        <w:rPr>
          <w:b/>
          <w:spacing w:val="-8"/>
          <w:sz w:val="26"/>
          <w:szCs w:val="26"/>
        </w:rPr>
        <w:t xml:space="preserve"> </w:t>
      </w:r>
      <w:r w:rsidR="00FE697E" w:rsidRPr="004605BC">
        <w:rPr>
          <w:b/>
          <w:spacing w:val="-1"/>
          <w:sz w:val="26"/>
          <w:szCs w:val="26"/>
        </w:rPr>
        <w:t>Procedures</w:t>
      </w:r>
      <w:r w:rsidR="00FE697E" w:rsidRPr="004605BC">
        <w:rPr>
          <w:b/>
          <w:spacing w:val="-10"/>
          <w:sz w:val="26"/>
          <w:szCs w:val="26"/>
        </w:rPr>
        <w:t xml:space="preserve"> </w:t>
      </w:r>
      <w:r w:rsidR="00FE697E" w:rsidRPr="004605BC">
        <w:rPr>
          <w:b/>
          <w:spacing w:val="-1"/>
          <w:sz w:val="26"/>
          <w:szCs w:val="26"/>
        </w:rPr>
        <w:t>Committee</w:t>
      </w:r>
      <w:r w:rsidR="00FE697E" w:rsidRPr="004605BC">
        <w:rPr>
          <w:b/>
          <w:spacing w:val="-6"/>
          <w:sz w:val="26"/>
          <w:szCs w:val="26"/>
        </w:rPr>
        <w:t xml:space="preserve"> </w:t>
      </w:r>
      <w:r w:rsidR="00FE697E" w:rsidRPr="004605BC">
        <w:rPr>
          <w:b/>
          <w:sz w:val="26"/>
          <w:szCs w:val="26"/>
        </w:rPr>
        <w:t>Website</w:t>
      </w:r>
      <w:r w:rsidR="00FE697E" w:rsidRPr="004605BC">
        <w:rPr>
          <w:b/>
          <w:spacing w:val="-9"/>
          <w:sz w:val="26"/>
          <w:szCs w:val="26"/>
        </w:rPr>
        <w:t xml:space="preserve"> </w:t>
      </w:r>
      <w:r w:rsidR="00FE697E" w:rsidRPr="004605BC">
        <w:rPr>
          <w:b/>
          <w:spacing w:val="-1"/>
          <w:sz w:val="26"/>
          <w:szCs w:val="26"/>
        </w:rPr>
        <w:t>for</w:t>
      </w:r>
      <w:r w:rsidR="00FE697E" w:rsidRPr="004605BC">
        <w:rPr>
          <w:b/>
          <w:spacing w:val="-4"/>
          <w:sz w:val="26"/>
          <w:szCs w:val="26"/>
        </w:rPr>
        <w:t xml:space="preserve"> </w:t>
      </w:r>
      <w:r w:rsidR="00FE697E" w:rsidRPr="004605BC">
        <w:rPr>
          <w:b/>
          <w:sz w:val="26"/>
          <w:szCs w:val="26"/>
        </w:rPr>
        <w:t>more</w:t>
      </w:r>
      <w:r w:rsidR="00FE697E" w:rsidRPr="004605BC">
        <w:rPr>
          <w:b/>
          <w:spacing w:val="-9"/>
          <w:sz w:val="26"/>
          <w:szCs w:val="26"/>
        </w:rPr>
        <w:t xml:space="preserve"> </w:t>
      </w:r>
      <w:r w:rsidR="00FE697E" w:rsidRPr="004605BC">
        <w:rPr>
          <w:b/>
          <w:spacing w:val="-1"/>
          <w:sz w:val="26"/>
          <w:szCs w:val="26"/>
        </w:rPr>
        <w:t>information:</w:t>
      </w:r>
    </w:p>
    <w:p w14:paraId="12E88E92" w14:textId="77777777" w:rsidR="00317034" w:rsidRPr="00FE697E" w:rsidRDefault="00FE697E" w:rsidP="00AD32A1">
      <w:pPr>
        <w:pStyle w:val="Footer"/>
        <w:jc w:val="center"/>
        <w:rPr>
          <w:sz w:val="26"/>
          <w:szCs w:val="26"/>
        </w:rPr>
      </w:pPr>
      <w:r w:rsidRPr="00742863">
        <w:rPr>
          <w:spacing w:val="-1"/>
          <w:sz w:val="26"/>
          <w:szCs w:val="26"/>
        </w:rPr>
        <w:t>(</w:t>
      </w:r>
      <w:hyperlink r:id="rId9">
        <w:r w:rsidRPr="00742863">
          <w:rPr>
            <w:color w:val="0000FF"/>
            <w:spacing w:val="-1"/>
            <w:sz w:val="26"/>
            <w:szCs w:val="26"/>
            <w:u w:val="single" w:color="0000FF"/>
          </w:rPr>
          <w:t>https://dcp.psc.gov/osg/JOAG/committees_policy.aspx</w:t>
        </w:r>
      </w:hyperlink>
      <w:r w:rsidRPr="00742863">
        <w:rPr>
          <w:spacing w:val="-1"/>
          <w:sz w:val="26"/>
          <w:szCs w:val="26"/>
        </w:rPr>
        <w:t>)</w:t>
      </w:r>
    </w:p>
    <w:sectPr w:rsidR="00317034" w:rsidRPr="00FE697E" w:rsidSect="00FE697E">
      <w:type w:val="continuous"/>
      <w:pgSz w:w="12240" w:h="15840"/>
      <w:pgMar w:top="144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E68EF" w14:textId="77777777" w:rsidR="003A6914" w:rsidRDefault="003A6914" w:rsidP="00742863">
      <w:r>
        <w:separator/>
      </w:r>
    </w:p>
  </w:endnote>
  <w:endnote w:type="continuationSeparator" w:id="0">
    <w:p w14:paraId="15A57139" w14:textId="77777777" w:rsidR="003A6914" w:rsidRDefault="003A6914" w:rsidP="00742863">
      <w:r>
        <w:continuationSeparator/>
      </w:r>
    </w:p>
  </w:endnote>
  <w:endnote w:type="continuationNotice" w:id="1">
    <w:p w14:paraId="0DEA1DE0" w14:textId="77777777" w:rsidR="003A6914" w:rsidRDefault="003A6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5C82" w14:textId="77777777" w:rsidR="003A6914" w:rsidRDefault="003A6914" w:rsidP="00742863">
      <w:r>
        <w:separator/>
      </w:r>
    </w:p>
  </w:footnote>
  <w:footnote w:type="continuationSeparator" w:id="0">
    <w:p w14:paraId="64359296" w14:textId="77777777" w:rsidR="003A6914" w:rsidRDefault="003A6914" w:rsidP="00742863">
      <w:r>
        <w:continuationSeparator/>
      </w:r>
    </w:p>
  </w:footnote>
  <w:footnote w:type="continuationNotice" w:id="1">
    <w:p w14:paraId="5FE7418A" w14:textId="77777777" w:rsidR="003A6914" w:rsidRDefault="003A69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D1E"/>
    <w:multiLevelType w:val="hybridMultilevel"/>
    <w:tmpl w:val="83303A06"/>
    <w:lvl w:ilvl="0" w:tplc="408CA878">
      <w:start w:val="1"/>
      <w:numFmt w:val="bullet"/>
      <w:lvlText w:val=""/>
      <w:lvlJc w:val="left"/>
      <w:pPr>
        <w:ind w:left="1209" w:hanging="360"/>
      </w:pPr>
      <w:rPr>
        <w:rFonts w:ascii="Wingdings" w:eastAsia="Wingdings" w:hAnsi="Wingdings" w:hint="default"/>
        <w:color w:val="252525"/>
        <w:sz w:val="22"/>
        <w:szCs w:val="22"/>
      </w:rPr>
    </w:lvl>
    <w:lvl w:ilvl="1" w:tplc="7BD4F156">
      <w:start w:val="1"/>
      <w:numFmt w:val="bullet"/>
      <w:lvlText w:val="•"/>
      <w:lvlJc w:val="left"/>
      <w:pPr>
        <w:ind w:left="1706" w:hanging="360"/>
      </w:pPr>
      <w:rPr>
        <w:rFonts w:hint="default"/>
      </w:rPr>
    </w:lvl>
    <w:lvl w:ilvl="2" w:tplc="F99A240C">
      <w:start w:val="1"/>
      <w:numFmt w:val="bullet"/>
      <w:lvlText w:val="•"/>
      <w:lvlJc w:val="left"/>
      <w:pPr>
        <w:ind w:left="2203" w:hanging="360"/>
      </w:pPr>
      <w:rPr>
        <w:rFonts w:hint="default"/>
      </w:rPr>
    </w:lvl>
    <w:lvl w:ilvl="3" w:tplc="529481BC">
      <w:start w:val="1"/>
      <w:numFmt w:val="bullet"/>
      <w:lvlText w:val="•"/>
      <w:lvlJc w:val="left"/>
      <w:pPr>
        <w:ind w:left="2701" w:hanging="360"/>
      </w:pPr>
      <w:rPr>
        <w:rFonts w:hint="default"/>
      </w:rPr>
    </w:lvl>
    <w:lvl w:ilvl="4" w:tplc="9ADC4FA2">
      <w:start w:val="1"/>
      <w:numFmt w:val="bullet"/>
      <w:lvlText w:val="•"/>
      <w:lvlJc w:val="left"/>
      <w:pPr>
        <w:ind w:left="3198" w:hanging="360"/>
      </w:pPr>
      <w:rPr>
        <w:rFonts w:hint="default"/>
      </w:rPr>
    </w:lvl>
    <w:lvl w:ilvl="5" w:tplc="81A054F6">
      <w:start w:val="1"/>
      <w:numFmt w:val="bullet"/>
      <w:lvlText w:val="•"/>
      <w:lvlJc w:val="left"/>
      <w:pPr>
        <w:ind w:left="3696" w:hanging="360"/>
      </w:pPr>
      <w:rPr>
        <w:rFonts w:hint="default"/>
      </w:rPr>
    </w:lvl>
    <w:lvl w:ilvl="6" w:tplc="DFE4B226">
      <w:start w:val="1"/>
      <w:numFmt w:val="bullet"/>
      <w:lvlText w:val="•"/>
      <w:lvlJc w:val="left"/>
      <w:pPr>
        <w:ind w:left="4193" w:hanging="360"/>
      </w:pPr>
      <w:rPr>
        <w:rFonts w:hint="default"/>
      </w:rPr>
    </w:lvl>
    <w:lvl w:ilvl="7" w:tplc="E854A4BA">
      <w:start w:val="1"/>
      <w:numFmt w:val="bullet"/>
      <w:lvlText w:val="•"/>
      <w:lvlJc w:val="left"/>
      <w:pPr>
        <w:ind w:left="4690" w:hanging="360"/>
      </w:pPr>
      <w:rPr>
        <w:rFonts w:hint="default"/>
      </w:rPr>
    </w:lvl>
    <w:lvl w:ilvl="8" w:tplc="15E8A298">
      <w:start w:val="1"/>
      <w:numFmt w:val="bullet"/>
      <w:lvlText w:val="•"/>
      <w:lvlJc w:val="left"/>
      <w:pPr>
        <w:ind w:left="5188" w:hanging="360"/>
      </w:pPr>
      <w:rPr>
        <w:rFonts w:hint="default"/>
      </w:rPr>
    </w:lvl>
  </w:abstractNum>
  <w:abstractNum w:abstractNumId="1" w15:restartNumberingAfterBreak="0">
    <w:nsid w:val="10373D12"/>
    <w:multiLevelType w:val="hybridMultilevel"/>
    <w:tmpl w:val="493E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5006"/>
    <w:multiLevelType w:val="hybridMultilevel"/>
    <w:tmpl w:val="5A32B6EA"/>
    <w:lvl w:ilvl="0" w:tplc="DBDC12B4">
      <w:start w:val="1"/>
      <w:numFmt w:val="bullet"/>
      <w:lvlText w:val=""/>
      <w:lvlJc w:val="left"/>
      <w:pPr>
        <w:ind w:left="2154" w:hanging="360"/>
      </w:pPr>
      <w:rPr>
        <w:rFonts w:ascii="Symbol" w:eastAsia="Symbol" w:hAnsi="Symbol" w:hint="default"/>
        <w:w w:val="99"/>
        <w:sz w:val="26"/>
        <w:szCs w:val="26"/>
      </w:rPr>
    </w:lvl>
    <w:lvl w:ilvl="1" w:tplc="D102E074">
      <w:start w:val="1"/>
      <w:numFmt w:val="bullet"/>
      <w:lvlText w:val="•"/>
      <w:lvlJc w:val="left"/>
      <w:pPr>
        <w:ind w:left="3110" w:hanging="360"/>
      </w:pPr>
      <w:rPr>
        <w:rFonts w:hint="default"/>
      </w:rPr>
    </w:lvl>
    <w:lvl w:ilvl="2" w:tplc="5E88E2F6">
      <w:start w:val="1"/>
      <w:numFmt w:val="bullet"/>
      <w:lvlText w:val="•"/>
      <w:lvlJc w:val="left"/>
      <w:pPr>
        <w:ind w:left="4067" w:hanging="360"/>
      </w:pPr>
      <w:rPr>
        <w:rFonts w:hint="default"/>
      </w:rPr>
    </w:lvl>
    <w:lvl w:ilvl="3" w:tplc="A5704F1C">
      <w:start w:val="1"/>
      <w:numFmt w:val="bullet"/>
      <w:lvlText w:val="•"/>
      <w:lvlJc w:val="left"/>
      <w:pPr>
        <w:ind w:left="5023" w:hanging="360"/>
      </w:pPr>
      <w:rPr>
        <w:rFonts w:hint="default"/>
      </w:rPr>
    </w:lvl>
    <w:lvl w:ilvl="4" w:tplc="3E86F360">
      <w:start w:val="1"/>
      <w:numFmt w:val="bullet"/>
      <w:lvlText w:val="•"/>
      <w:lvlJc w:val="left"/>
      <w:pPr>
        <w:ind w:left="5980" w:hanging="360"/>
      </w:pPr>
      <w:rPr>
        <w:rFonts w:hint="default"/>
      </w:rPr>
    </w:lvl>
    <w:lvl w:ilvl="5" w:tplc="414ECD8C">
      <w:start w:val="1"/>
      <w:numFmt w:val="bullet"/>
      <w:lvlText w:val="•"/>
      <w:lvlJc w:val="left"/>
      <w:pPr>
        <w:ind w:left="6937" w:hanging="360"/>
      </w:pPr>
      <w:rPr>
        <w:rFonts w:hint="default"/>
      </w:rPr>
    </w:lvl>
    <w:lvl w:ilvl="6" w:tplc="1324A518">
      <w:start w:val="1"/>
      <w:numFmt w:val="bullet"/>
      <w:lvlText w:val="•"/>
      <w:lvlJc w:val="left"/>
      <w:pPr>
        <w:ind w:left="7893" w:hanging="360"/>
      </w:pPr>
      <w:rPr>
        <w:rFonts w:hint="default"/>
      </w:rPr>
    </w:lvl>
    <w:lvl w:ilvl="7" w:tplc="297E2434">
      <w:start w:val="1"/>
      <w:numFmt w:val="bullet"/>
      <w:lvlText w:val="•"/>
      <w:lvlJc w:val="left"/>
      <w:pPr>
        <w:ind w:left="8850" w:hanging="360"/>
      </w:pPr>
      <w:rPr>
        <w:rFonts w:hint="default"/>
      </w:rPr>
    </w:lvl>
    <w:lvl w:ilvl="8" w:tplc="2B469B7E">
      <w:start w:val="1"/>
      <w:numFmt w:val="bullet"/>
      <w:lvlText w:val="•"/>
      <w:lvlJc w:val="left"/>
      <w:pPr>
        <w:ind w:left="9806" w:hanging="360"/>
      </w:pPr>
      <w:rPr>
        <w:rFonts w:hint="default"/>
      </w:rPr>
    </w:lvl>
  </w:abstractNum>
  <w:abstractNum w:abstractNumId="3" w15:restartNumberingAfterBreak="0">
    <w:nsid w:val="2B156CA9"/>
    <w:multiLevelType w:val="hybridMultilevel"/>
    <w:tmpl w:val="B35433F8"/>
    <w:lvl w:ilvl="0" w:tplc="CD140ED4">
      <w:start w:val="1"/>
      <w:numFmt w:val="bullet"/>
      <w:lvlText w:val=""/>
      <w:lvlJc w:val="left"/>
      <w:pPr>
        <w:ind w:left="2154" w:hanging="360"/>
      </w:pPr>
      <w:rPr>
        <w:rFonts w:ascii="Symbol" w:eastAsia="Symbol" w:hAnsi="Symbol" w:hint="default"/>
        <w:w w:val="98"/>
        <w:sz w:val="26"/>
        <w:szCs w:val="26"/>
      </w:rPr>
    </w:lvl>
    <w:lvl w:ilvl="1" w:tplc="04090003" w:tentative="1">
      <w:start w:val="1"/>
      <w:numFmt w:val="bullet"/>
      <w:lvlText w:val="o"/>
      <w:lvlJc w:val="left"/>
      <w:pPr>
        <w:ind w:left="2874" w:hanging="360"/>
      </w:pPr>
      <w:rPr>
        <w:rFonts w:ascii="Courier New" w:hAnsi="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4" w15:restartNumberingAfterBreak="0">
    <w:nsid w:val="301D7D59"/>
    <w:multiLevelType w:val="hybridMultilevel"/>
    <w:tmpl w:val="148CAFF4"/>
    <w:lvl w:ilvl="0" w:tplc="C99AA3E0">
      <w:start w:val="1"/>
      <w:numFmt w:val="bullet"/>
      <w:lvlText w:val=""/>
      <w:lvlJc w:val="left"/>
      <w:pPr>
        <w:ind w:left="1209" w:hanging="360"/>
      </w:pPr>
      <w:rPr>
        <w:rFonts w:ascii="Wingdings" w:eastAsia="Wingdings" w:hAnsi="Wingdings" w:hint="default"/>
        <w:color w:val="252525"/>
        <w:position w:val="-2"/>
        <w:sz w:val="22"/>
        <w:szCs w:val="22"/>
      </w:rPr>
    </w:lvl>
    <w:lvl w:ilvl="1" w:tplc="73BEB8B0">
      <w:start w:val="1"/>
      <w:numFmt w:val="bullet"/>
      <w:lvlText w:val="•"/>
      <w:lvlJc w:val="left"/>
      <w:pPr>
        <w:ind w:left="1706" w:hanging="360"/>
      </w:pPr>
      <w:rPr>
        <w:rFonts w:hint="default"/>
      </w:rPr>
    </w:lvl>
    <w:lvl w:ilvl="2" w:tplc="D1D205E0">
      <w:start w:val="1"/>
      <w:numFmt w:val="bullet"/>
      <w:lvlText w:val="•"/>
      <w:lvlJc w:val="left"/>
      <w:pPr>
        <w:ind w:left="2203" w:hanging="360"/>
      </w:pPr>
      <w:rPr>
        <w:rFonts w:hint="default"/>
      </w:rPr>
    </w:lvl>
    <w:lvl w:ilvl="3" w:tplc="DFD69310">
      <w:start w:val="1"/>
      <w:numFmt w:val="bullet"/>
      <w:lvlText w:val="•"/>
      <w:lvlJc w:val="left"/>
      <w:pPr>
        <w:ind w:left="2701" w:hanging="360"/>
      </w:pPr>
      <w:rPr>
        <w:rFonts w:hint="default"/>
      </w:rPr>
    </w:lvl>
    <w:lvl w:ilvl="4" w:tplc="32A2CF7E">
      <w:start w:val="1"/>
      <w:numFmt w:val="bullet"/>
      <w:lvlText w:val="•"/>
      <w:lvlJc w:val="left"/>
      <w:pPr>
        <w:ind w:left="3198" w:hanging="360"/>
      </w:pPr>
      <w:rPr>
        <w:rFonts w:hint="default"/>
      </w:rPr>
    </w:lvl>
    <w:lvl w:ilvl="5" w:tplc="C36CB608">
      <w:start w:val="1"/>
      <w:numFmt w:val="bullet"/>
      <w:lvlText w:val="•"/>
      <w:lvlJc w:val="left"/>
      <w:pPr>
        <w:ind w:left="3696" w:hanging="360"/>
      </w:pPr>
      <w:rPr>
        <w:rFonts w:hint="default"/>
      </w:rPr>
    </w:lvl>
    <w:lvl w:ilvl="6" w:tplc="C1E28462">
      <w:start w:val="1"/>
      <w:numFmt w:val="bullet"/>
      <w:lvlText w:val="•"/>
      <w:lvlJc w:val="left"/>
      <w:pPr>
        <w:ind w:left="4193" w:hanging="360"/>
      </w:pPr>
      <w:rPr>
        <w:rFonts w:hint="default"/>
      </w:rPr>
    </w:lvl>
    <w:lvl w:ilvl="7" w:tplc="4468C61A">
      <w:start w:val="1"/>
      <w:numFmt w:val="bullet"/>
      <w:lvlText w:val="•"/>
      <w:lvlJc w:val="left"/>
      <w:pPr>
        <w:ind w:left="4690" w:hanging="360"/>
      </w:pPr>
      <w:rPr>
        <w:rFonts w:hint="default"/>
      </w:rPr>
    </w:lvl>
    <w:lvl w:ilvl="8" w:tplc="4DC28B08">
      <w:start w:val="1"/>
      <w:numFmt w:val="bullet"/>
      <w:lvlText w:val="•"/>
      <w:lvlJc w:val="left"/>
      <w:pPr>
        <w:ind w:left="5188" w:hanging="360"/>
      </w:pPr>
      <w:rPr>
        <w:rFonts w:hint="default"/>
      </w:rPr>
    </w:lvl>
  </w:abstractNum>
  <w:abstractNum w:abstractNumId="5" w15:restartNumberingAfterBreak="0">
    <w:nsid w:val="59876982"/>
    <w:multiLevelType w:val="hybridMultilevel"/>
    <w:tmpl w:val="CB6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92783"/>
    <w:multiLevelType w:val="hybridMultilevel"/>
    <w:tmpl w:val="F10ACA04"/>
    <w:lvl w:ilvl="0" w:tplc="CD140ED4">
      <w:start w:val="1"/>
      <w:numFmt w:val="bullet"/>
      <w:lvlText w:val=""/>
      <w:lvlJc w:val="left"/>
      <w:pPr>
        <w:ind w:left="504" w:hanging="360"/>
      </w:pPr>
      <w:rPr>
        <w:rFonts w:ascii="Symbol" w:eastAsia="Symbol" w:hAnsi="Symbol" w:hint="default"/>
        <w:w w:val="98"/>
        <w:sz w:val="26"/>
        <w:szCs w:val="26"/>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317034"/>
    <w:rsid w:val="00106300"/>
    <w:rsid w:val="00187174"/>
    <w:rsid w:val="00247EBA"/>
    <w:rsid w:val="00293BE1"/>
    <w:rsid w:val="00317034"/>
    <w:rsid w:val="003A6914"/>
    <w:rsid w:val="004605BC"/>
    <w:rsid w:val="004B1D0A"/>
    <w:rsid w:val="004C3306"/>
    <w:rsid w:val="004D29E5"/>
    <w:rsid w:val="0055483C"/>
    <w:rsid w:val="005C4291"/>
    <w:rsid w:val="005F68CF"/>
    <w:rsid w:val="006A4EFC"/>
    <w:rsid w:val="006A508B"/>
    <w:rsid w:val="00742863"/>
    <w:rsid w:val="007F30E1"/>
    <w:rsid w:val="00860A5F"/>
    <w:rsid w:val="009217E7"/>
    <w:rsid w:val="00AA16FB"/>
    <w:rsid w:val="00AD32A1"/>
    <w:rsid w:val="00AD5BCC"/>
    <w:rsid w:val="00B44C37"/>
    <w:rsid w:val="00B47A69"/>
    <w:rsid w:val="00C15C95"/>
    <w:rsid w:val="00C91BF8"/>
    <w:rsid w:val="00E10F86"/>
    <w:rsid w:val="00E358C4"/>
    <w:rsid w:val="00E90FDF"/>
    <w:rsid w:val="00E9211D"/>
    <w:rsid w:val="00ED240B"/>
    <w:rsid w:val="00ED4B14"/>
    <w:rsid w:val="00F24BD2"/>
    <w:rsid w:val="00F36BF5"/>
    <w:rsid w:val="00F83CA8"/>
    <w:rsid w:val="00F85FDD"/>
    <w:rsid w:val="00FE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12E88E6C"/>
  <w15:docId w15:val="{11313C76-08A4-421C-AA70-488C9B3E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5BCC"/>
  </w:style>
  <w:style w:type="paragraph" w:styleId="Heading1">
    <w:name w:val="heading 1"/>
    <w:basedOn w:val="Normal"/>
    <w:uiPriority w:val="1"/>
    <w:qFormat/>
    <w:rsid w:val="004605BC"/>
    <w:pPr>
      <w:spacing w:before="240"/>
      <w:outlineLvl w:val="0"/>
    </w:pPr>
    <w:rPr>
      <w:rFonts w:ascii="Calibri"/>
      <w:b/>
      <w:color w:val="006FC0"/>
      <w:spacing w:val="-2"/>
      <w:sz w:val="36"/>
    </w:rPr>
  </w:style>
  <w:style w:type="paragraph" w:styleId="Heading2">
    <w:name w:val="heading 2"/>
    <w:basedOn w:val="Heading1"/>
    <w:uiPriority w:val="1"/>
    <w:qFormat/>
    <w:rsid w:val="004605BC"/>
    <w:pPr>
      <w:spacing w:before="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05BC"/>
    <w:pPr>
      <w:ind w:right="144"/>
      <w:jc w:val="both"/>
    </w:pPr>
    <w:rPr>
      <w:rFonts w:ascii="Calibri" w:eastAsia="Calibri" w:hAnsi="Calibri"/>
      <w:color w:val="252525"/>
      <w:spacing w:val="-1"/>
    </w:rPr>
  </w:style>
  <w:style w:type="paragraph" w:styleId="ListParagraph">
    <w:name w:val="List Paragraph"/>
    <w:basedOn w:val="Normal"/>
    <w:uiPriority w:val="1"/>
    <w:qFormat/>
    <w:rsid w:val="00AD5BCC"/>
  </w:style>
  <w:style w:type="paragraph" w:customStyle="1" w:styleId="TableParagraph">
    <w:name w:val="Table Paragraph"/>
    <w:basedOn w:val="Normal"/>
    <w:uiPriority w:val="1"/>
    <w:qFormat/>
    <w:rsid w:val="00AD5BCC"/>
  </w:style>
  <w:style w:type="paragraph" w:styleId="Header">
    <w:name w:val="header"/>
    <w:basedOn w:val="Normal"/>
    <w:link w:val="HeaderChar"/>
    <w:uiPriority w:val="99"/>
    <w:unhideWhenUsed/>
    <w:rsid w:val="00742863"/>
    <w:pPr>
      <w:tabs>
        <w:tab w:val="center" w:pos="4320"/>
        <w:tab w:val="right" w:pos="8640"/>
      </w:tabs>
    </w:pPr>
  </w:style>
  <w:style w:type="character" w:customStyle="1" w:styleId="HeaderChar">
    <w:name w:val="Header Char"/>
    <w:basedOn w:val="DefaultParagraphFont"/>
    <w:link w:val="Header"/>
    <w:uiPriority w:val="99"/>
    <w:rsid w:val="00742863"/>
  </w:style>
  <w:style w:type="paragraph" w:styleId="Footer">
    <w:name w:val="footer"/>
    <w:basedOn w:val="Normal"/>
    <w:link w:val="FooterChar"/>
    <w:uiPriority w:val="99"/>
    <w:unhideWhenUsed/>
    <w:rsid w:val="00742863"/>
    <w:pPr>
      <w:tabs>
        <w:tab w:val="center" w:pos="4320"/>
        <w:tab w:val="right" w:pos="8640"/>
      </w:tabs>
    </w:pPr>
  </w:style>
  <w:style w:type="character" w:customStyle="1" w:styleId="FooterChar">
    <w:name w:val="Footer Char"/>
    <w:basedOn w:val="DefaultParagraphFont"/>
    <w:link w:val="Footer"/>
    <w:uiPriority w:val="99"/>
    <w:rsid w:val="00742863"/>
  </w:style>
  <w:style w:type="paragraph" w:styleId="Title">
    <w:name w:val="Title"/>
    <w:basedOn w:val="Normal"/>
    <w:next w:val="Normal"/>
    <w:link w:val="TitleChar"/>
    <w:uiPriority w:val="10"/>
    <w:qFormat/>
    <w:rsid w:val="00FE697E"/>
    <w:pPr>
      <w:jc w:val="center"/>
    </w:pPr>
    <w:rPr>
      <w:b/>
      <w:noProof/>
      <w:color w:val="006FC0"/>
      <w:sz w:val="44"/>
      <w:szCs w:val="44"/>
    </w:rPr>
  </w:style>
  <w:style w:type="character" w:customStyle="1" w:styleId="TitleChar">
    <w:name w:val="Title Char"/>
    <w:basedOn w:val="DefaultParagraphFont"/>
    <w:link w:val="Title"/>
    <w:uiPriority w:val="10"/>
    <w:rsid w:val="00FE697E"/>
    <w:rPr>
      <w:b/>
      <w:noProof/>
      <w:color w:val="006FC0"/>
      <w:sz w:val="44"/>
      <w:szCs w:val="44"/>
    </w:rPr>
  </w:style>
  <w:style w:type="character" w:styleId="Hyperlink">
    <w:name w:val="Hyperlink"/>
    <w:basedOn w:val="DefaultParagraphFont"/>
    <w:uiPriority w:val="99"/>
    <w:unhideWhenUsed/>
    <w:rsid w:val="00247EBA"/>
    <w:rPr>
      <w:color w:val="0000FF" w:themeColor="hyperlink"/>
      <w:u w:val="single"/>
    </w:rPr>
  </w:style>
  <w:style w:type="character" w:styleId="UnresolvedMention">
    <w:name w:val="Unresolved Mention"/>
    <w:basedOn w:val="DefaultParagraphFont"/>
    <w:uiPriority w:val="99"/>
    <w:semiHidden/>
    <w:unhideWhenUsed/>
    <w:rsid w:val="00247E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cp.psc.gov/osg/JOAG/committees_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JOAG Policy and Procedures Committee</vt:lpstr>
    </vt:vector>
  </TitlesOfParts>
  <Company>Department of Defense</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JOAG Policy and Procedures Committee</dc:title>
  <dc:creator>Linzi R. Allen</dc:creator>
  <cp:lastModifiedBy>Eng, Jennie</cp:lastModifiedBy>
  <cp:revision>2</cp:revision>
  <dcterms:created xsi:type="dcterms:W3CDTF">2021-11-26T18:58:00Z</dcterms:created>
  <dcterms:modified xsi:type="dcterms:W3CDTF">2021-11-26T18:58:00Z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2016-12-23T00:00:00Z</vt:filetime>
  </property>
</Properties>
</file>