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7" w:rsidRDefault="00E55F4C" w:rsidP="00625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Clinical Pharmacy Specialist (NCPS) </w:t>
      </w:r>
      <w:r w:rsidR="003C0F19" w:rsidRPr="003C0F19">
        <w:rPr>
          <w:b/>
          <w:sz w:val="36"/>
          <w:szCs w:val="36"/>
        </w:rPr>
        <w:t>Resource Guide: Collection of Emergent Care Visits from Adverse Events from Oral Anticoagulants</w:t>
      </w:r>
    </w:p>
    <w:p w:rsidR="00487011" w:rsidRPr="00EE6621" w:rsidRDefault="00EE6621" w:rsidP="00EE6621">
      <w:r w:rsidRPr="0079564F">
        <w:rPr>
          <w:b/>
          <w:sz w:val="28"/>
          <w:szCs w:val="28"/>
        </w:rPr>
        <w:t>Background:</w:t>
      </w:r>
      <w:r>
        <w:t xml:space="preserve"> Starting August</w:t>
      </w:r>
      <w:r w:rsidRPr="00EE6621">
        <w:t xml:space="preserve"> 2015</w:t>
      </w:r>
      <w:r>
        <w:t>,</w:t>
      </w:r>
      <w:r w:rsidRPr="00EE6621">
        <w:t xml:space="preserve"> the NCPS</w:t>
      </w:r>
      <w:r>
        <w:t xml:space="preserve"> </w:t>
      </w:r>
      <w:r w:rsidRPr="00EE6621">
        <w:t>C</w:t>
      </w:r>
      <w:r>
        <w:t>ommittee</w:t>
      </w:r>
      <w:r w:rsidR="0079564F">
        <w:t xml:space="preserve"> </w:t>
      </w:r>
      <w:r w:rsidRPr="00EE6621">
        <w:t>require</w:t>
      </w:r>
      <w:r w:rsidR="0079564F">
        <w:t>d</w:t>
      </w:r>
      <w:r w:rsidRPr="00EE6621">
        <w:t xml:space="preserve"> submission of specific outcomes for Anticoagulation Clinics with any new and renewal requests for anticoagulation certification</w:t>
      </w:r>
      <w:r>
        <w:t>.</w:t>
      </w:r>
      <w:r w:rsidR="00625227">
        <w:t xml:space="preserve">  Resource Guide was developed to improve easy and standardization of collecting adverse events.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2"/>
        <w:gridCol w:w="3796"/>
        <w:gridCol w:w="1045"/>
      </w:tblGrid>
      <w:tr w:rsidR="007064AD" w:rsidTr="005C48F7">
        <w:trPr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Rate of Emergent Care Visits for Adverse Events from Orally Administered Anticoagulants*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D" w:rsidRDefault="007064AD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Calculations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064AD" w:rsidRDefault="007064AD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Results (%)</w:t>
            </w:r>
          </w:p>
        </w:tc>
      </w:tr>
      <w:tr w:rsidR="007064AD" w:rsidTr="005C48F7">
        <w:trPr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Numerator: </w:t>
            </w:r>
            <w:r>
              <w:rPr>
                <w:rFonts w:ascii="Times New Roman" w:hAnsi="Times New Roman"/>
              </w:rPr>
              <w:t># of visits to Emergency Department or Urgent Care Clinic for injury from oral anticoagulants</w:t>
            </w:r>
          </w:p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Denominator:</w:t>
            </w:r>
            <w:r>
              <w:rPr>
                <w:rFonts w:ascii="Times New Roman" w:hAnsi="Times New Roman"/>
              </w:rPr>
              <w:t xml:space="preserve"> # of anticoagulated patients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7064AD" w:rsidRDefault="007064AD">
            <w:r>
              <w:rPr>
                <w:rFonts w:ascii="Times New Roman" w:hAnsi="Times New Roman"/>
                <w:u w:val="single"/>
              </w:rPr>
              <w:t>Numerator</w:t>
            </w:r>
            <w:r w:rsidR="006916B5">
              <w:rPr>
                <w:rFonts w:ascii="Times New Roman" w:hAnsi="Times New Roman"/>
                <w:u w:val="single"/>
              </w:rPr>
              <w:t> __=  ___</w:t>
            </w:r>
            <w:r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Denominator  =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064AD" w:rsidTr="005C48F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D" w:rsidRDefault="007064A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*Definitions:  Oral anticoagulants:  warfarin and direct oral anticoagulants (DOACs);</w:t>
            </w:r>
            <w:proofErr w:type="gramStart"/>
            <w:r>
              <w:rPr>
                <w:rFonts w:ascii="Times New Roman" w:hAnsi="Times New Roman"/>
              </w:rPr>
              <w:t>  Adverse</w:t>
            </w:r>
            <w:proofErr w:type="gramEnd"/>
            <w:r>
              <w:rPr>
                <w:rFonts w:ascii="Times New Roman" w:hAnsi="Times New Roman"/>
              </w:rPr>
              <w:t xml:space="preserve"> Events:  coagulation, laboratory abnormalities, and/or hemorrhagic events.</w:t>
            </w:r>
          </w:p>
        </w:tc>
      </w:tr>
    </w:tbl>
    <w:p w:rsidR="003C0F19" w:rsidRDefault="003C0F19" w:rsidP="003C0F19">
      <w:pPr>
        <w:pStyle w:val="ListParagraph"/>
      </w:pPr>
    </w:p>
    <w:p w:rsidR="004E092F" w:rsidRPr="00FE072B" w:rsidRDefault="004E092F" w:rsidP="00A05251">
      <w:pPr>
        <w:pStyle w:val="ListParagraph"/>
        <w:numPr>
          <w:ilvl w:val="0"/>
          <w:numId w:val="2"/>
        </w:numPr>
      </w:pPr>
      <w:r w:rsidRPr="00FE072B">
        <w:t xml:space="preserve">IHS has an ACCESS database that has been shared to help assist in reporting. </w:t>
      </w:r>
      <w:r w:rsidR="00530C62" w:rsidRPr="00FE072B">
        <w:t xml:space="preserve">  </w:t>
      </w:r>
      <w:r w:rsidR="00FE072B" w:rsidRPr="00FE072B">
        <w:t xml:space="preserve">The ACCESS database will be updated to include the additional questions (but currently not available):  </w:t>
      </w:r>
      <w:r w:rsidR="00530C62" w:rsidRPr="00FE072B">
        <w:t>“</w:t>
      </w:r>
      <w:r w:rsidRPr="00FE072B">
        <w:t>Has patient been hospitalized or visited an ER/EC since their last visit related to anticoag</w:t>
      </w:r>
      <w:r w:rsidR="00EE6621">
        <w:t>ulation</w:t>
      </w:r>
      <w:r w:rsidRPr="00FE072B">
        <w:t>?</w:t>
      </w:r>
      <w:r w:rsidR="00530C62" w:rsidRPr="00FE072B">
        <w:t>” and “Was vitamin K administered since their last visit?</w:t>
      </w:r>
      <w:proofErr w:type="gramStart"/>
      <w:r w:rsidR="00530C62" w:rsidRPr="00FE072B">
        <w:t>”</w:t>
      </w:r>
      <w:r w:rsidR="00FE072B" w:rsidRPr="00FE072B">
        <w:t>.</w:t>
      </w:r>
      <w:proofErr w:type="gramEnd"/>
      <w:r w:rsidR="00FE072B" w:rsidRPr="00FE072B">
        <w:t xml:space="preserve">   Alternatively, this could be added on the local level.  </w:t>
      </w:r>
    </w:p>
    <w:p w:rsidR="00A05251" w:rsidRDefault="00A05251" w:rsidP="00A05251">
      <w:pPr>
        <w:pStyle w:val="ListParagraph"/>
        <w:numPr>
          <w:ilvl w:val="0"/>
          <w:numId w:val="2"/>
        </w:numPr>
      </w:pPr>
      <w:r>
        <w:t>ER/EC visits</w:t>
      </w:r>
    </w:p>
    <w:p w:rsidR="001F7E45" w:rsidRDefault="00A05251" w:rsidP="00A05251">
      <w:pPr>
        <w:pStyle w:val="ListParagraph"/>
        <w:numPr>
          <w:ilvl w:val="1"/>
          <w:numId w:val="2"/>
        </w:numPr>
      </w:pPr>
      <w:r>
        <w:t>Patient self-report:</w:t>
      </w:r>
    </w:p>
    <w:p w:rsidR="001F7E45" w:rsidRDefault="001F7E45" w:rsidP="001F7E45">
      <w:pPr>
        <w:pStyle w:val="ListParagraph"/>
        <w:numPr>
          <w:ilvl w:val="2"/>
          <w:numId w:val="2"/>
        </w:numPr>
      </w:pPr>
      <w:r>
        <w:t xml:space="preserve"> Include </w:t>
      </w:r>
      <w:r w:rsidR="00A05251">
        <w:t>ER/EC/hospitalization since last visit (related to anticoag</w:t>
      </w:r>
      <w:r w:rsidR="00EE6621">
        <w:t>ulation</w:t>
      </w:r>
      <w:r w:rsidR="00A05251">
        <w:t xml:space="preserve">) in the visit template.  </w:t>
      </w:r>
    </w:p>
    <w:p w:rsidR="00A05251" w:rsidRDefault="001F7E45" w:rsidP="001F7E45">
      <w:pPr>
        <w:pStyle w:val="ListParagraph"/>
        <w:numPr>
          <w:ilvl w:val="3"/>
          <w:numId w:val="2"/>
        </w:numPr>
      </w:pPr>
      <w:r>
        <w:t xml:space="preserve">For </w:t>
      </w:r>
      <w:r w:rsidR="00A05251">
        <w:t xml:space="preserve">positive response, </w:t>
      </w:r>
      <w:r>
        <w:t>consider</w:t>
      </w:r>
      <w:r w:rsidR="00A05251">
        <w:t xml:space="preserve"> using a system to be able to pull the data that does not require retroactive chart review of all notes.  Examples include: entry into ACCESS database,</w:t>
      </w:r>
      <w:r>
        <w:t xml:space="preserve"> note title only us</w:t>
      </w:r>
      <w:bookmarkStart w:id="0" w:name="_GoBack"/>
      <w:bookmarkEnd w:id="0"/>
      <w:r>
        <w:t>ed for anticoag</w:t>
      </w:r>
      <w:r w:rsidR="00EE6621">
        <w:t>ulation</w:t>
      </w:r>
      <w:r>
        <w:t xml:space="preserve"> ADEs,</w:t>
      </w:r>
      <w:r w:rsidR="00A05251">
        <w:t xml:space="preserve"> </w:t>
      </w:r>
      <w:r>
        <w:t xml:space="preserve">code visit with </w:t>
      </w:r>
      <w:r w:rsidR="00A05251">
        <w:t>a specific</w:t>
      </w:r>
      <w:r w:rsidR="00ED1070">
        <w:t xml:space="preserve"> </w:t>
      </w:r>
      <w:proofErr w:type="gramStart"/>
      <w:r w:rsidR="00ED1070">
        <w:t>ICD</w:t>
      </w:r>
      <w:r>
        <w:t xml:space="preserve">10 </w:t>
      </w:r>
      <w:r w:rsidR="00A05251">
        <w:t>,</w:t>
      </w:r>
      <w:proofErr w:type="gramEnd"/>
      <w:r>
        <w:t xml:space="preserve"> CPT</w:t>
      </w:r>
      <w:r w:rsidR="00A05251">
        <w:t>, or patient education code</w:t>
      </w:r>
      <w:r w:rsidR="00ED1070">
        <w:t xml:space="preserve"> that can be pulled with a report</w:t>
      </w:r>
      <w:r w:rsidR="00A05251">
        <w:t>.</w:t>
      </w:r>
    </w:p>
    <w:p w:rsidR="001F7E45" w:rsidRDefault="001F7E45" w:rsidP="00A05251">
      <w:pPr>
        <w:pStyle w:val="ListParagraph"/>
        <w:numPr>
          <w:ilvl w:val="1"/>
          <w:numId w:val="2"/>
        </w:numPr>
      </w:pPr>
      <w:r>
        <w:t>Reports from facility</w:t>
      </w:r>
    </w:p>
    <w:p w:rsidR="00A05251" w:rsidRDefault="00A05251" w:rsidP="001F7E45">
      <w:pPr>
        <w:pStyle w:val="ListParagraph"/>
        <w:numPr>
          <w:ilvl w:val="2"/>
          <w:numId w:val="2"/>
        </w:numPr>
      </w:pPr>
      <w:r>
        <w:t xml:space="preserve">IHS: create a panel in </w:t>
      </w:r>
      <w:proofErr w:type="spellStart"/>
      <w:r>
        <w:t>icare</w:t>
      </w:r>
      <w:proofErr w:type="spellEnd"/>
      <w:r>
        <w:t xml:space="preserve"> and ER/EC visits can be identified under flags for visits within the facility but will not include outside facilities.</w:t>
      </w:r>
    </w:p>
    <w:p w:rsidR="007064AD" w:rsidRDefault="00A05251" w:rsidP="007064AD">
      <w:pPr>
        <w:pStyle w:val="ListParagraph"/>
        <w:numPr>
          <w:ilvl w:val="0"/>
          <w:numId w:val="2"/>
        </w:numPr>
      </w:pPr>
      <w:r>
        <w:t xml:space="preserve">Vitamin K administration </w:t>
      </w:r>
    </w:p>
    <w:p w:rsidR="004E092F" w:rsidRPr="00ED1070" w:rsidRDefault="004E092F" w:rsidP="004E092F">
      <w:pPr>
        <w:pStyle w:val="ListParagraph"/>
        <w:numPr>
          <w:ilvl w:val="1"/>
          <w:numId w:val="2"/>
        </w:numPr>
      </w:pPr>
      <w:r w:rsidRPr="00ED1070">
        <w:rPr>
          <w:u w:val="single"/>
        </w:rPr>
        <w:t>Prescribing vitamin k is considered urgent care</w:t>
      </w:r>
      <w:r w:rsidRPr="00ED1070">
        <w:t>.  Include administration of vitamin K as a visit to “emergency department or urgent care clinic” regardless of the ordering clinic (</w:t>
      </w:r>
      <w:proofErr w:type="spellStart"/>
      <w:r w:rsidRPr="00ED1070">
        <w:t>coag</w:t>
      </w:r>
      <w:proofErr w:type="spellEnd"/>
      <w:r w:rsidRPr="00ED1070">
        <w:t xml:space="preserve">, PCP, ED, EC, </w:t>
      </w:r>
      <w:proofErr w:type="spellStart"/>
      <w:r w:rsidRPr="00ED1070">
        <w:t>etc</w:t>
      </w:r>
      <w:proofErr w:type="spellEnd"/>
      <w:r w:rsidRPr="00ED1070">
        <w:t xml:space="preserve">)  </w:t>
      </w:r>
    </w:p>
    <w:p w:rsidR="00A05251" w:rsidRDefault="00A05251">
      <w:pPr>
        <w:pStyle w:val="ListParagraph"/>
        <w:numPr>
          <w:ilvl w:val="1"/>
          <w:numId w:val="2"/>
        </w:numPr>
      </w:pPr>
      <w:r>
        <w:t>Drug utilization report</w:t>
      </w:r>
    </w:p>
    <w:p w:rsidR="00A05251" w:rsidRDefault="00A05251">
      <w:pPr>
        <w:pStyle w:val="ListParagraph"/>
        <w:numPr>
          <w:ilvl w:val="1"/>
          <w:numId w:val="2"/>
        </w:numPr>
      </w:pPr>
      <w:r>
        <w:t>Patient self-report</w:t>
      </w:r>
    </w:p>
    <w:p w:rsidR="00A05251" w:rsidRDefault="00A05251">
      <w:pPr>
        <w:pStyle w:val="ListParagraph"/>
        <w:numPr>
          <w:ilvl w:val="1"/>
          <w:numId w:val="2"/>
        </w:numPr>
      </w:pPr>
      <w:r>
        <w:t>Chart review of ER/EC visits</w:t>
      </w:r>
    </w:p>
    <w:p w:rsidR="00A05251" w:rsidRDefault="00A05251" w:rsidP="00A05251">
      <w:pPr>
        <w:pStyle w:val="ListParagraph"/>
        <w:numPr>
          <w:ilvl w:val="0"/>
          <w:numId w:val="2"/>
        </w:numPr>
      </w:pPr>
      <w:r>
        <w:t>Adverse Drug Events</w:t>
      </w:r>
    </w:p>
    <w:p w:rsidR="00A05251" w:rsidRDefault="00A05251" w:rsidP="00A05251">
      <w:pPr>
        <w:pStyle w:val="ListParagraph"/>
        <w:numPr>
          <w:ilvl w:val="1"/>
          <w:numId w:val="2"/>
        </w:numPr>
      </w:pPr>
      <w:proofErr w:type="spellStart"/>
      <w:r>
        <w:t>Webcident</w:t>
      </w:r>
      <w:proofErr w:type="spellEnd"/>
      <w:r>
        <w:t xml:space="preserve"> or other ADE reporting system</w:t>
      </w:r>
    </w:p>
    <w:p w:rsidR="00A05251" w:rsidRDefault="00A05251" w:rsidP="00A05251">
      <w:pPr>
        <w:pStyle w:val="ListParagraph"/>
        <w:numPr>
          <w:ilvl w:val="0"/>
          <w:numId w:val="2"/>
        </w:numPr>
      </w:pPr>
      <w:r>
        <w:t>Abnormal labs</w:t>
      </w:r>
    </w:p>
    <w:p w:rsidR="00A05251" w:rsidRPr="00ED1070" w:rsidRDefault="001F7E45" w:rsidP="00A05251">
      <w:pPr>
        <w:pStyle w:val="ListParagraph"/>
        <w:numPr>
          <w:ilvl w:val="1"/>
          <w:numId w:val="2"/>
        </w:numPr>
      </w:pPr>
      <w:r w:rsidRPr="00ED1070">
        <w:lastRenderedPageBreak/>
        <w:t>Reports could include elevated INRs, platelet (thrombocytopenia), drops in hemoglobin &gt; 2g/dl</w:t>
      </w:r>
      <w:r w:rsidR="004E092F" w:rsidRPr="00ED1070">
        <w:t xml:space="preserve"> that require intervention or referral (i.e. vitamin k administration, referral to ER or EC).  If repeat monitoring is the only action, it does not need to be included.</w:t>
      </w:r>
      <w:r w:rsidR="00A05251" w:rsidRPr="00ED1070">
        <w:tab/>
      </w:r>
    </w:p>
    <w:p w:rsidR="004E092F" w:rsidRPr="004E092F" w:rsidRDefault="004E092F" w:rsidP="004E092F">
      <w:pPr>
        <w:pStyle w:val="ListParagraph"/>
        <w:ind w:left="1440"/>
        <w:rPr>
          <w:highlight w:val="yellow"/>
        </w:rPr>
      </w:pPr>
    </w:p>
    <w:sectPr w:rsidR="004E092F" w:rsidRPr="004E092F" w:rsidSect="001F7E4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4C" w:rsidRDefault="00E55F4C" w:rsidP="00E55F4C">
      <w:pPr>
        <w:spacing w:after="0" w:line="240" w:lineRule="auto"/>
      </w:pPr>
      <w:r>
        <w:separator/>
      </w:r>
    </w:p>
  </w:endnote>
  <w:endnote w:type="continuationSeparator" w:id="0">
    <w:p w:rsidR="00E55F4C" w:rsidRDefault="00E55F4C" w:rsidP="00E5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4C" w:rsidRDefault="00E55F4C">
    <w:pPr>
      <w:pStyle w:val="Footer"/>
    </w:pPr>
    <w:r>
      <w:t>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4C" w:rsidRDefault="00E55F4C" w:rsidP="00E55F4C">
      <w:pPr>
        <w:spacing w:after="0" w:line="240" w:lineRule="auto"/>
      </w:pPr>
      <w:r>
        <w:separator/>
      </w:r>
    </w:p>
  </w:footnote>
  <w:footnote w:type="continuationSeparator" w:id="0">
    <w:p w:rsidR="00E55F4C" w:rsidRDefault="00E55F4C" w:rsidP="00E5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1CD2"/>
    <w:multiLevelType w:val="hybridMultilevel"/>
    <w:tmpl w:val="B338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0BCF"/>
    <w:multiLevelType w:val="hybridMultilevel"/>
    <w:tmpl w:val="3E1A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D"/>
    <w:rsid w:val="001F7E45"/>
    <w:rsid w:val="003C0F19"/>
    <w:rsid w:val="00487011"/>
    <w:rsid w:val="004E092F"/>
    <w:rsid w:val="00530C62"/>
    <w:rsid w:val="005C48F7"/>
    <w:rsid w:val="00625227"/>
    <w:rsid w:val="006916B5"/>
    <w:rsid w:val="007064AD"/>
    <w:rsid w:val="0079564F"/>
    <w:rsid w:val="00867382"/>
    <w:rsid w:val="00A05251"/>
    <w:rsid w:val="00AF1594"/>
    <w:rsid w:val="00E55F4C"/>
    <w:rsid w:val="00E6673C"/>
    <w:rsid w:val="00ED1070"/>
    <w:rsid w:val="00EE6621"/>
    <w:rsid w:val="00F12B66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4C"/>
  </w:style>
  <w:style w:type="paragraph" w:styleId="Footer">
    <w:name w:val="footer"/>
    <w:basedOn w:val="Normal"/>
    <w:link w:val="FooterChar"/>
    <w:uiPriority w:val="99"/>
    <w:unhideWhenUsed/>
    <w:rsid w:val="00E5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4C"/>
  </w:style>
  <w:style w:type="paragraph" w:styleId="Footer">
    <w:name w:val="footer"/>
    <w:basedOn w:val="Normal"/>
    <w:link w:val="FooterChar"/>
    <w:uiPriority w:val="99"/>
    <w:unhideWhenUsed/>
    <w:rsid w:val="00E5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Jinny (IHS/BEM)</dc:creator>
  <cp:lastModifiedBy>Corser, Christine G</cp:lastModifiedBy>
  <cp:revision>2</cp:revision>
  <dcterms:created xsi:type="dcterms:W3CDTF">2016-09-21T11:58:00Z</dcterms:created>
  <dcterms:modified xsi:type="dcterms:W3CDTF">2016-09-21T11:58:00Z</dcterms:modified>
</cp:coreProperties>
</file>